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BB" w:rsidRPr="00344466" w:rsidRDefault="00232FBB" w:rsidP="00232FBB">
      <w:pPr>
        <w:spacing w:line="216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sz w:val="24"/>
          <w:szCs w:val="24"/>
        </w:rPr>
      </w:pPr>
      <w:r w:rsidRPr="00344466">
        <w:rPr>
          <w:rFonts w:ascii="Times New Roman" w:eastAsia="+mn-ea" w:hAnsi="Times New Roman" w:cs="Times New Roman"/>
          <w:b/>
          <w:color w:val="000000"/>
          <w:sz w:val="24"/>
          <w:szCs w:val="24"/>
        </w:rPr>
        <w:t>LO STILE FORMULARE</w:t>
      </w:r>
    </w:p>
    <w:p w:rsidR="00232FBB" w:rsidRPr="00344466" w:rsidRDefault="00232FBB" w:rsidP="00232FBB">
      <w:pPr>
        <w:pStyle w:val="Paragrafoelenco"/>
        <w:numPr>
          <w:ilvl w:val="0"/>
          <w:numId w:val="2"/>
        </w:numPr>
        <w:spacing w:line="216" w:lineRule="auto"/>
        <w:jc w:val="both"/>
        <w:textAlignment w:val="baseline"/>
      </w:pPr>
      <w:r w:rsidRPr="00AA57DF">
        <w:rPr>
          <w:rFonts w:eastAsia="+mn-ea"/>
          <w:color w:val="000000"/>
        </w:rPr>
        <w:t xml:space="preserve">Nell'epica antica vi sono frequentissime espressioni ricorrenti, tanto che si può parlare di uno </w:t>
      </w:r>
      <w:r w:rsidRPr="00AA57DF">
        <w:rPr>
          <w:rFonts w:eastAsia="+mn-ea"/>
          <w:b/>
          <w:bCs/>
          <w:color w:val="000000"/>
        </w:rPr>
        <w:t xml:space="preserve">stile formulare, </w:t>
      </w:r>
      <w:r w:rsidRPr="00AA57DF">
        <w:rPr>
          <w:rFonts w:eastAsia="+mn-ea"/>
          <w:color w:val="000000"/>
        </w:rPr>
        <w:t xml:space="preserve">cioè fatto di </w:t>
      </w:r>
      <w:r w:rsidRPr="00AA57DF">
        <w:rPr>
          <w:rFonts w:eastAsia="+mn-ea"/>
          <w:b/>
          <w:bCs/>
          <w:color w:val="000000"/>
        </w:rPr>
        <w:t xml:space="preserve">formule fisse </w:t>
      </w:r>
      <w:r w:rsidRPr="00AA57DF">
        <w:rPr>
          <w:rFonts w:eastAsia="+mn-ea"/>
          <w:color w:val="000000"/>
        </w:rPr>
        <w:t>(nei poemi omerici, ad esempio, dee e donne bellissime sono sempre dotate di «bianche braccia», i guerrieri valorosi sono se</w:t>
      </w:r>
      <w:r w:rsidR="00344466">
        <w:rPr>
          <w:rFonts w:eastAsia="+mn-ea"/>
          <w:color w:val="000000"/>
        </w:rPr>
        <w:t>mpre paragonati a feroci leoni) tipiche delle culture orali.</w:t>
      </w:r>
    </w:p>
    <w:p w:rsidR="00344466" w:rsidRPr="00AA57DF" w:rsidRDefault="00344466" w:rsidP="00344466">
      <w:pPr>
        <w:pStyle w:val="Paragrafoelenco"/>
        <w:spacing w:line="216" w:lineRule="auto"/>
        <w:jc w:val="both"/>
        <w:textAlignment w:val="baseline"/>
      </w:pPr>
    </w:p>
    <w:p w:rsidR="00232FBB" w:rsidRPr="00AA57DF" w:rsidRDefault="00232FBB" w:rsidP="00232FBB">
      <w:pPr>
        <w:pStyle w:val="Paragrafoelenco"/>
        <w:numPr>
          <w:ilvl w:val="0"/>
          <w:numId w:val="2"/>
        </w:numPr>
        <w:spacing w:line="216" w:lineRule="auto"/>
        <w:jc w:val="both"/>
        <w:textAlignment w:val="baseline"/>
      </w:pPr>
      <w:r w:rsidRPr="00AA57DF">
        <w:rPr>
          <w:rFonts w:eastAsia="+mn-ea"/>
          <w:color w:val="000000"/>
        </w:rPr>
        <w:t>Lo</w:t>
      </w:r>
      <w:r w:rsidRPr="00AA57DF">
        <w:rPr>
          <w:rFonts w:eastAsia="+mn-ea"/>
          <w:b/>
          <w:bCs/>
          <w:color w:val="000000"/>
        </w:rPr>
        <w:t xml:space="preserve"> stile formulare</w:t>
      </w:r>
      <w:r w:rsidRPr="00AA57DF">
        <w:rPr>
          <w:rFonts w:eastAsia="+mn-ea"/>
          <w:color w:val="000000"/>
        </w:rPr>
        <w:t xml:space="preserve"> consiste nella ripetizione insistita di:</w:t>
      </w:r>
    </w:p>
    <w:p w:rsidR="00232FBB" w:rsidRPr="00AA57DF" w:rsidRDefault="00232FBB" w:rsidP="00232FBB">
      <w:pPr>
        <w:pStyle w:val="NormaleWeb"/>
        <w:spacing w:before="96" w:beforeAutospacing="0" w:after="0" w:afterAutospacing="0" w:line="216" w:lineRule="auto"/>
        <w:ind w:left="547" w:hanging="547"/>
        <w:textAlignment w:val="baseline"/>
      </w:pPr>
      <w:r w:rsidRPr="00AA57DF">
        <w:rPr>
          <w:rFonts w:eastAsia="+mn-ea"/>
          <w:color w:val="000000"/>
        </w:rPr>
        <w:tab/>
        <w:t>- </w:t>
      </w:r>
      <w:r w:rsidRPr="00AA57DF">
        <w:rPr>
          <w:rFonts w:eastAsia="+mn-ea"/>
          <w:b/>
          <w:bCs/>
          <w:color w:val="000000"/>
        </w:rPr>
        <w:t>patronimici</w:t>
      </w:r>
      <w:r w:rsidRPr="00AA57DF">
        <w:rPr>
          <w:rFonts w:eastAsia="+mn-ea"/>
          <w:color w:val="000000"/>
        </w:rPr>
        <w:t xml:space="preserve"> (ad esempio: Achille è definito il </w:t>
      </w:r>
      <w:proofErr w:type="spellStart"/>
      <w:r w:rsidRPr="00AA57DF">
        <w:rPr>
          <w:rFonts w:eastAsia="+mn-ea"/>
          <w:color w:val="000000"/>
        </w:rPr>
        <w:t>Pelide</w:t>
      </w:r>
      <w:proofErr w:type="spellEnd"/>
      <w:r w:rsidRPr="00AA57DF">
        <w:rPr>
          <w:rFonts w:eastAsia="+mn-ea"/>
          <w:color w:val="000000"/>
        </w:rPr>
        <w:t xml:space="preserve"> in quanto figlio di Peleo; analogamente troviamo il </w:t>
      </w:r>
      <w:proofErr w:type="spellStart"/>
      <w:r w:rsidRPr="00AA57DF">
        <w:rPr>
          <w:rFonts w:eastAsia="+mn-ea"/>
          <w:color w:val="000000"/>
        </w:rPr>
        <w:t>Laerziade</w:t>
      </w:r>
      <w:proofErr w:type="spellEnd"/>
      <w:r w:rsidRPr="00AA57DF">
        <w:rPr>
          <w:rFonts w:eastAsia="+mn-ea"/>
          <w:color w:val="000000"/>
        </w:rPr>
        <w:t>, figlio di Laerte, l'</w:t>
      </w:r>
      <w:proofErr w:type="spellStart"/>
      <w:r w:rsidRPr="00AA57DF">
        <w:rPr>
          <w:rFonts w:eastAsia="+mn-ea"/>
          <w:color w:val="000000"/>
        </w:rPr>
        <w:t>Atride</w:t>
      </w:r>
      <w:proofErr w:type="spellEnd"/>
      <w:r w:rsidRPr="00AA57DF">
        <w:rPr>
          <w:rFonts w:eastAsia="+mn-ea"/>
          <w:color w:val="000000"/>
        </w:rPr>
        <w:t>, figlio di Atreo);</w:t>
      </w:r>
    </w:p>
    <w:p w:rsidR="00232FBB" w:rsidRPr="00AA57DF" w:rsidRDefault="00232FBB" w:rsidP="00232FBB">
      <w:pPr>
        <w:pStyle w:val="NormaleWeb"/>
        <w:spacing w:before="96" w:beforeAutospacing="0" w:after="0" w:afterAutospacing="0" w:line="216" w:lineRule="auto"/>
        <w:ind w:left="547" w:hanging="547"/>
        <w:textAlignment w:val="baseline"/>
      </w:pPr>
      <w:r w:rsidRPr="00AA57DF">
        <w:rPr>
          <w:rFonts w:eastAsia="+mn-ea"/>
          <w:color w:val="000000"/>
        </w:rPr>
        <w:tab/>
        <w:t xml:space="preserve">- </w:t>
      </w:r>
      <w:r w:rsidRPr="00AA57DF">
        <w:rPr>
          <w:rFonts w:eastAsia="+mn-ea"/>
          <w:b/>
          <w:bCs/>
          <w:color w:val="000000"/>
        </w:rPr>
        <w:t>epiteti,</w:t>
      </w:r>
      <w:r w:rsidRPr="00AA57DF">
        <w:rPr>
          <w:rFonts w:eastAsia="+mn-ea"/>
          <w:color w:val="000000"/>
        </w:rPr>
        <w:t xml:space="preserve"> che ind</w:t>
      </w:r>
      <w:r w:rsidR="005E190A">
        <w:rPr>
          <w:rFonts w:eastAsia="+mn-ea"/>
          <w:color w:val="000000"/>
        </w:rPr>
        <w:t xml:space="preserve">icano qualità fisiche o morali, </w:t>
      </w:r>
      <w:r w:rsidRPr="00AA57DF">
        <w:rPr>
          <w:rFonts w:eastAsia="+mn-ea"/>
          <w:color w:val="000000"/>
        </w:rPr>
        <w:t>ad esempio: Achille dal piede veloce, Agamennone il re dall'ampio potere, Atena dagli occhi azzurri; Odisseo distruttore di città</w:t>
      </w:r>
      <w:r w:rsidR="005E190A">
        <w:rPr>
          <w:rFonts w:eastAsia="+mn-ea"/>
          <w:color w:val="000000"/>
        </w:rPr>
        <w:t>, paziente, astuto</w:t>
      </w:r>
      <w:r w:rsidRPr="00AA57DF">
        <w:rPr>
          <w:rFonts w:eastAsia="+mn-ea"/>
          <w:color w:val="000000"/>
        </w:rPr>
        <w:t>; Apollo, che è in grado di saettar</w:t>
      </w:r>
      <w:r w:rsidR="005E190A">
        <w:rPr>
          <w:rFonts w:eastAsia="+mn-ea"/>
          <w:color w:val="000000"/>
        </w:rPr>
        <w:t>e lontano</w:t>
      </w:r>
      <w:r w:rsidRPr="00AA57DF">
        <w:rPr>
          <w:rFonts w:eastAsia="+mn-ea"/>
          <w:color w:val="000000"/>
        </w:rPr>
        <w:t>;</w:t>
      </w:r>
      <w:r w:rsidR="005E190A">
        <w:rPr>
          <w:rFonts w:eastAsia="+mn-ea"/>
          <w:color w:val="000000"/>
        </w:rPr>
        <w:t xml:space="preserve"> le navi</w:t>
      </w:r>
      <w:r w:rsidR="00344466">
        <w:rPr>
          <w:rFonts w:eastAsia="+mn-ea"/>
          <w:color w:val="000000"/>
        </w:rPr>
        <w:t xml:space="preserve"> nere,</w:t>
      </w:r>
      <w:r w:rsidR="005E190A">
        <w:rPr>
          <w:rFonts w:eastAsia="+mn-ea"/>
          <w:color w:val="000000"/>
        </w:rPr>
        <w:t xml:space="preserve"> veloci (anche se ferme!)</w:t>
      </w:r>
      <w:r w:rsidR="00344466">
        <w:rPr>
          <w:rFonts w:eastAsia="+mn-ea"/>
          <w:color w:val="000000"/>
        </w:rPr>
        <w:t xml:space="preserve"> ecc.</w:t>
      </w:r>
    </w:p>
    <w:p w:rsidR="00232FBB" w:rsidRPr="00AA57DF" w:rsidRDefault="00232FBB" w:rsidP="00232FBB">
      <w:pPr>
        <w:pStyle w:val="NormaleWeb"/>
        <w:spacing w:before="96" w:beforeAutospacing="0" w:after="0" w:afterAutospacing="0" w:line="216" w:lineRule="auto"/>
        <w:ind w:left="547" w:hanging="547"/>
        <w:jc w:val="both"/>
        <w:textAlignment w:val="baseline"/>
      </w:pPr>
      <w:r w:rsidRPr="00AA57DF">
        <w:rPr>
          <w:rFonts w:eastAsia="+mn-ea"/>
          <w:color w:val="000000"/>
        </w:rPr>
        <w:tab/>
        <w:t xml:space="preserve">- </w:t>
      </w:r>
      <w:r w:rsidRPr="00AA57DF">
        <w:rPr>
          <w:rFonts w:eastAsia="+mn-ea"/>
          <w:b/>
          <w:bCs/>
          <w:color w:val="000000"/>
        </w:rPr>
        <w:t>espressioni ricorrenti</w:t>
      </w:r>
      <w:r w:rsidRPr="00AA57DF">
        <w:rPr>
          <w:rFonts w:eastAsia="+mn-ea"/>
          <w:color w:val="000000"/>
        </w:rPr>
        <w:t xml:space="preserve"> ad esempio: </w:t>
      </w:r>
      <w:r w:rsidR="00344466">
        <w:rPr>
          <w:rFonts w:eastAsia="+mn-ea"/>
          <w:color w:val="000000"/>
        </w:rPr>
        <w:t>disse parole fuggenti; l’animo altero lasciò le ossa.</w:t>
      </w:r>
    </w:p>
    <w:p w:rsidR="005E190A" w:rsidRDefault="00232FBB" w:rsidP="005E190A">
      <w:pPr>
        <w:pStyle w:val="NormaleWeb"/>
        <w:spacing w:before="96" w:beforeAutospacing="0" w:after="0" w:afterAutospacing="0" w:line="216" w:lineRule="auto"/>
        <w:ind w:left="547" w:hanging="547"/>
        <w:jc w:val="both"/>
        <w:textAlignment w:val="baseline"/>
        <w:rPr>
          <w:rFonts w:eastAsia="+mn-ea"/>
          <w:bCs/>
          <w:color w:val="000000"/>
        </w:rPr>
      </w:pPr>
      <w:r w:rsidRPr="00AA57DF">
        <w:rPr>
          <w:rFonts w:eastAsia="+mn-ea"/>
          <w:color w:val="000000"/>
        </w:rPr>
        <w:tab/>
        <w:t xml:space="preserve">- </w:t>
      </w:r>
      <w:r w:rsidRPr="00AA57DF">
        <w:rPr>
          <w:rFonts w:eastAsia="+mn-ea"/>
          <w:b/>
          <w:bCs/>
          <w:color w:val="000000"/>
        </w:rPr>
        <w:t>interi versi o gruppi di versi ripetuti</w:t>
      </w:r>
      <w:r w:rsidR="005E190A">
        <w:rPr>
          <w:rFonts w:eastAsia="+mn-ea"/>
          <w:b/>
          <w:bCs/>
          <w:color w:val="000000"/>
        </w:rPr>
        <w:t xml:space="preserve">, </w:t>
      </w:r>
      <w:r w:rsidR="005E190A">
        <w:rPr>
          <w:rFonts w:eastAsia="+mn-ea"/>
          <w:bCs/>
          <w:color w:val="000000"/>
        </w:rPr>
        <w:t>quando, figlia del mattino, apparve Aurora dalle dita di rosa; quando il sole scese giù e sopraggiunse la tenebra</w:t>
      </w:r>
      <w:bookmarkStart w:id="0" w:name="_GoBack"/>
      <w:bookmarkEnd w:id="0"/>
    </w:p>
    <w:p w:rsidR="005E190A" w:rsidRPr="005E190A" w:rsidRDefault="00344466" w:rsidP="005E190A">
      <w:pPr>
        <w:pStyle w:val="NormaleWeb"/>
        <w:spacing w:before="96" w:beforeAutospacing="0" w:after="0" w:afterAutospacing="0" w:line="216" w:lineRule="auto"/>
        <w:ind w:left="547" w:hanging="547"/>
        <w:jc w:val="both"/>
        <w:textAlignment w:val="baseline"/>
        <w:rPr>
          <w:rFonts w:eastAsia="+mn-ea"/>
          <w:bCs/>
          <w:color w:val="000000"/>
        </w:rPr>
      </w:pPr>
      <w:r>
        <w:rPr>
          <w:rFonts w:eastAsia="+mn-ea"/>
          <w:bCs/>
          <w:color w:val="000000"/>
        </w:rPr>
        <w:t xml:space="preserve">        </w:t>
      </w:r>
      <w:r w:rsidR="005E190A">
        <w:rPr>
          <w:rFonts w:eastAsia="+mn-ea"/>
          <w:bCs/>
          <w:color w:val="000000"/>
        </w:rPr>
        <w:t xml:space="preserve">- </w:t>
      </w:r>
      <w:r w:rsidR="005E190A" w:rsidRPr="00344466">
        <w:rPr>
          <w:rFonts w:eastAsia="+mn-ea"/>
          <w:b/>
          <w:bCs/>
          <w:color w:val="000000"/>
        </w:rPr>
        <w:t>porzioni più ampie di testo</w:t>
      </w:r>
      <w:r w:rsidR="005E190A">
        <w:rPr>
          <w:rFonts w:eastAsia="+mn-ea"/>
          <w:bCs/>
          <w:color w:val="000000"/>
        </w:rPr>
        <w:t xml:space="preserve">, </w:t>
      </w:r>
      <w:r>
        <w:rPr>
          <w:rFonts w:eastAsia="+mn-ea"/>
          <w:bCs/>
          <w:color w:val="000000"/>
        </w:rPr>
        <w:t xml:space="preserve">in </w:t>
      </w:r>
      <w:r w:rsidR="005E190A">
        <w:rPr>
          <w:rFonts w:eastAsia="+mn-ea"/>
          <w:bCs/>
          <w:color w:val="000000"/>
        </w:rPr>
        <w:t>scene tipiche come l’assemblea, il banchetto, il sacrificio, il duello, il bagno</w:t>
      </w:r>
      <w:r>
        <w:rPr>
          <w:rFonts w:eastAsia="+mn-ea"/>
          <w:bCs/>
          <w:color w:val="000000"/>
        </w:rPr>
        <w:t>, la vestizione dell’eroe</w:t>
      </w:r>
      <w:r w:rsidR="005E190A">
        <w:rPr>
          <w:rFonts w:eastAsia="+mn-ea"/>
          <w:bCs/>
          <w:color w:val="000000"/>
        </w:rPr>
        <w:t xml:space="preserve"> </w:t>
      </w:r>
    </w:p>
    <w:p w:rsidR="00232FBB" w:rsidRPr="00AA57DF" w:rsidRDefault="00232FBB" w:rsidP="009C24D9">
      <w:pPr>
        <w:pStyle w:val="NormaleWeb"/>
        <w:spacing w:before="86" w:beforeAutospacing="0" w:after="0" w:afterAutospacing="0"/>
        <w:ind w:left="547" w:hanging="547"/>
        <w:jc w:val="both"/>
        <w:textAlignment w:val="baseline"/>
        <w:rPr>
          <w:rFonts w:eastAsiaTheme="majorEastAsia"/>
          <w:b/>
          <w:bCs/>
          <w:color w:val="1F497D" w:themeColor="text2"/>
        </w:rPr>
      </w:pPr>
    </w:p>
    <w:p w:rsidR="00232FBB" w:rsidRPr="00AA57DF" w:rsidRDefault="00232FBB" w:rsidP="009C24D9">
      <w:pPr>
        <w:pStyle w:val="NormaleWeb"/>
        <w:spacing w:before="86" w:beforeAutospacing="0" w:after="0" w:afterAutospacing="0"/>
        <w:ind w:left="547" w:hanging="547"/>
        <w:jc w:val="both"/>
        <w:textAlignment w:val="baseline"/>
        <w:rPr>
          <w:rFonts w:eastAsiaTheme="majorEastAsia"/>
          <w:b/>
          <w:bCs/>
          <w:color w:val="1F497D" w:themeColor="text2"/>
        </w:rPr>
      </w:pPr>
    </w:p>
    <w:p w:rsidR="009C24D9" w:rsidRPr="00AA57DF" w:rsidRDefault="00344466" w:rsidP="009C24D9">
      <w:pPr>
        <w:pStyle w:val="NormaleWeb"/>
        <w:spacing w:before="86" w:beforeAutospacing="0" w:after="0" w:afterAutospacing="0"/>
        <w:ind w:left="547" w:hanging="547"/>
        <w:jc w:val="both"/>
        <w:textAlignment w:val="baseline"/>
        <w:rPr>
          <w:rFonts w:eastAsiaTheme="minorEastAsia"/>
          <w:color w:val="000000" w:themeColor="text1"/>
        </w:rPr>
      </w:pPr>
      <w:r w:rsidRPr="00AA57DF">
        <w:rPr>
          <w:rFonts w:eastAsiaTheme="majorEastAsia"/>
          <w:b/>
          <w:bCs/>
          <w:color w:val="1F497D" w:themeColor="text2"/>
        </w:rPr>
        <w:t>LE TRACCE DI EPOCHE DIVERSE</w:t>
      </w:r>
    </w:p>
    <w:p w:rsidR="009C24D9" w:rsidRPr="00AA57DF" w:rsidRDefault="009C24D9" w:rsidP="009C24D9">
      <w:pPr>
        <w:pStyle w:val="NormaleWeb"/>
        <w:spacing w:before="86" w:beforeAutospacing="0" w:after="0" w:afterAutospacing="0"/>
        <w:ind w:left="547" w:hanging="547"/>
        <w:jc w:val="both"/>
        <w:textAlignment w:val="baseline"/>
      </w:pPr>
      <w:r w:rsidRPr="00AA57DF">
        <w:rPr>
          <w:rFonts w:eastAsiaTheme="minorEastAsia"/>
          <w:color w:val="000000" w:themeColor="text1"/>
        </w:rPr>
        <w:t xml:space="preserve">Omero, dipingendo un'epoca lontana grande e splendida, cioè quella dei re, dei combattenti e dei navigatori micenei, da un lato narra eventi e costumi che sapeva propri di quella età, ma introduceva anche, inconsapevolmente, elementi propri della realtà a lui contemporanea, cioè l’VIII secolo a.C., e del periodo intermedio (il medioevo ellenico). Fra le principali </w:t>
      </w:r>
      <w:proofErr w:type="spellStart"/>
      <w:r w:rsidRPr="00AA57DF">
        <w:rPr>
          <w:rFonts w:eastAsiaTheme="minorEastAsia"/>
          <w:b/>
          <w:bCs/>
          <w:color w:val="000000" w:themeColor="text1"/>
        </w:rPr>
        <w:t>anacronie</w:t>
      </w:r>
      <w:proofErr w:type="spellEnd"/>
      <w:r w:rsidRPr="00AA57DF">
        <w:rPr>
          <w:rFonts w:eastAsiaTheme="minorEastAsia"/>
          <w:color w:val="000000" w:themeColor="text1"/>
        </w:rPr>
        <w:t>, ricordiamo:</w:t>
      </w:r>
    </w:p>
    <w:p w:rsidR="009C24D9" w:rsidRPr="00AA57DF" w:rsidRDefault="009C24D9" w:rsidP="009C24D9">
      <w:pPr>
        <w:pStyle w:val="Paragrafoelenco"/>
        <w:numPr>
          <w:ilvl w:val="0"/>
          <w:numId w:val="1"/>
        </w:numPr>
        <w:jc w:val="both"/>
        <w:textAlignment w:val="baseline"/>
      </w:pPr>
      <w:r w:rsidRPr="00AA57DF">
        <w:rPr>
          <w:rFonts w:eastAsiaTheme="minorEastAsia"/>
          <w:color w:val="000000" w:themeColor="text1"/>
        </w:rPr>
        <w:t xml:space="preserve">le armi e gli strumenti sono di </w:t>
      </w:r>
      <w:r w:rsidRPr="00AA57DF">
        <w:rPr>
          <w:rFonts w:eastAsiaTheme="minorEastAsia"/>
          <w:b/>
          <w:bCs/>
          <w:color w:val="000000" w:themeColor="text1"/>
        </w:rPr>
        <w:t>bronzo</w:t>
      </w:r>
      <w:r w:rsidRPr="00AA57DF">
        <w:rPr>
          <w:rFonts w:eastAsiaTheme="minorEastAsia"/>
          <w:color w:val="000000" w:themeColor="text1"/>
        </w:rPr>
        <w:t>, ma Omero, nelle similitudini nomina spesso il</w:t>
      </w:r>
      <w:r w:rsidRPr="00AA57DF">
        <w:rPr>
          <w:rFonts w:eastAsiaTheme="minorEastAsia"/>
          <w:b/>
          <w:bCs/>
          <w:color w:val="000000" w:themeColor="text1"/>
        </w:rPr>
        <w:t xml:space="preserve"> ferro</w:t>
      </w:r>
      <w:r w:rsidRPr="00AA57DF">
        <w:rPr>
          <w:rFonts w:eastAsiaTheme="minorEastAsia"/>
          <w:color w:val="000000" w:themeColor="text1"/>
        </w:rPr>
        <w:t xml:space="preserve"> (sconosciuto ai micenei, ma tipico della sua epoca);</w:t>
      </w:r>
    </w:p>
    <w:p w:rsidR="009C24D9" w:rsidRPr="00AA57DF" w:rsidRDefault="009C24D9" w:rsidP="009C24D9">
      <w:pPr>
        <w:pStyle w:val="Paragrafoelenco"/>
        <w:numPr>
          <w:ilvl w:val="0"/>
          <w:numId w:val="1"/>
        </w:numPr>
        <w:jc w:val="both"/>
        <w:textAlignment w:val="baseline"/>
      </w:pPr>
      <w:r w:rsidRPr="00AA57DF">
        <w:rPr>
          <w:rFonts w:eastAsiaTheme="minorEastAsia"/>
          <w:color w:val="000000" w:themeColor="text1"/>
        </w:rPr>
        <w:t xml:space="preserve">i guerrieri si servono di </w:t>
      </w:r>
      <w:r w:rsidRPr="00AA57DF">
        <w:rPr>
          <w:rFonts w:eastAsiaTheme="minorEastAsia"/>
          <w:b/>
          <w:bCs/>
          <w:color w:val="000000" w:themeColor="text1"/>
        </w:rPr>
        <w:t>carri</w:t>
      </w:r>
      <w:r w:rsidRPr="00AA57DF">
        <w:rPr>
          <w:rFonts w:eastAsiaTheme="minorEastAsia"/>
          <w:color w:val="000000" w:themeColor="text1"/>
        </w:rPr>
        <w:t xml:space="preserve"> leggeri trainati da cavalli, come all'epoca micenea, ma Omero ricorda anche l’uso dei </w:t>
      </w:r>
      <w:r w:rsidRPr="00AA57DF">
        <w:rPr>
          <w:rFonts w:eastAsiaTheme="minorEastAsia"/>
          <w:b/>
          <w:bCs/>
          <w:color w:val="000000" w:themeColor="text1"/>
        </w:rPr>
        <w:t>cavalcare</w:t>
      </w:r>
      <w:r w:rsidRPr="00AA57DF">
        <w:rPr>
          <w:rFonts w:eastAsiaTheme="minorEastAsia"/>
          <w:color w:val="000000" w:themeColor="text1"/>
        </w:rPr>
        <w:t xml:space="preserve"> i cavalli, che fu introdotto in Grecia dai Dori, dunque dopo la fine dell’età micenea.</w:t>
      </w:r>
    </w:p>
    <w:p w:rsidR="009C24D9" w:rsidRPr="00AA57DF" w:rsidRDefault="009C24D9" w:rsidP="009C24D9">
      <w:pPr>
        <w:pStyle w:val="Paragrafoelenco"/>
        <w:numPr>
          <w:ilvl w:val="0"/>
          <w:numId w:val="1"/>
        </w:numPr>
        <w:jc w:val="both"/>
        <w:textAlignment w:val="baseline"/>
      </w:pPr>
      <w:r w:rsidRPr="00AA57DF">
        <w:rPr>
          <w:rFonts w:eastAsiaTheme="minorEastAsia"/>
          <w:color w:val="000000" w:themeColor="text1"/>
        </w:rPr>
        <w:t xml:space="preserve">il viaggio di Ulisse ripercorre le rotte già tracciate dai Micenei nel Mediterraneo occidentale, ma l’autore descrive una società in cui la pratica </w:t>
      </w:r>
      <w:r w:rsidRPr="00AA57DF">
        <w:rPr>
          <w:rFonts w:eastAsiaTheme="minorEastAsia"/>
          <w:b/>
          <w:bCs/>
          <w:color w:val="000000" w:themeColor="text1"/>
        </w:rPr>
        <w:t>dell’attività marinara</w:t>
      </w:r>
      <w:r w:rsidRPr="00AA57DF">
        <w:rPr>
          <w:rFonts w:eastAsiaTheme="minorEastAsia"/>
          <w:color w:val="000000" w:themeColor="text1"/>
        </w:rPr>
        <w:t xml:space="preserve"> è tipica; </w:t>
      </w:r>
    </w:p>
    <w:p w:rsidR="009C24D9" w:rsidRPr="00AA57DF" w:rsidRDefault="009C24D9" w:rsidP="009C24D9">
      <w:pPr>
        <w:pStyle w:val="Paragrafoelenco"/>
        <w:numPr>
          <w:ilvl w:val="0"/>
          <w:numId w:val="1"/>
        </w:numPr>
        <w:jc w:val="both"/>
        <w:textAlignment w:val="baseline"/>
      </w:pPr>
      <w:r w:rsidRPr="00AA57DF">
        <w:rPr>
          <w:rFonts w:eastAsiaTheme="minorEastAsia"/>
          <w:color w:val="000000" w:themeColor="text1"/>
        </w:rPr>
        <w:t xml:space="preserve">i riti funebri che vengono celebrati si concludono con la </w:t>
      </w:r>
      <w:r w:rsidRPr="00AA57DF">
        <w:rPr>
          <w:rFonts w:eastAsiaTheme="minorEastAsia"/>
          <w:b/>
          <w:bCs/>
          <w:color w:val="000000" w:themeColor="text1"/>
        </w:rPr>
        <w:t>cremazione</w:t>
      </w:r>
      <w:r w:rsidRPr="00AA57DF">
        <w:rPr>
          <w:rFonts w:eastAsiaTheme="minorEastAsia"/>
          <w:color w:val="000000" w:themeColor="text1"/>
        </w:rPr>
        <w:t>, tipica del Medioevo ellenico, cioè dell'età successiva a quella micenea, in cui si praticava l'</w:t>
      </w:r>
      <w:r w:rsidRPr="00AA57DF">
        <w:rPr>
          <w:rFonts w:eastAsiaTheme="minorEastAsia"/>
          <w:b/>
          <w:bCs/>
          <w:color w:val="000000" w:themeColor="text1"/>
        </w:rPr>
        <w:t>inumazione</w:t>
      </w:r>
      <w:r w:rsidRPr="00AA57DF">
        <w:rPr>
          <w:rFonts w:eastAsiaTheme="minorEastAsia"/>
          <w:color w:val="000000" w:themeColor="text1"/>
        </w:rPr>
        <w:t xml:space="preserve"> (lo testimoniano le tombe micenee); </w:t>
      </w:r>
    </w:p>
    <w:p w:rsidR="009C24D9" w:rsidRPr="00AA57DF" w:rsidRDefault="009C24D9" w:rsidP="009C24D9">
      <w:pPr>
        <w:pStyle w:val="Paragrafoelenco"/>
        <w:numPr>
          <w:ilvl w:val="0"/>
          <w:numId w:val="1"/>
        </w:numPr>
        <w:jc w:val="both"/>
        <w:textAlignment w:val="baseline"/>
      </w:pPr>
      <w:r w:rsidRPr="00AA57DF">
        <w:rPr>
          <w:rFonts w:eastAsiaTheme="minorEastAsia"/>
          <w:color w:val="000000" w:themeColor="text1"/>
        </w:rPr>
        <w:t xml:space="preserve">la figura del re nell’Iliade è abbastanza vicina a quella del potente </w:t>
      </w:r>
      <w:proofErr w:type="spellStart"/>
      <w:r w:rsidRPr="00AA57DF">
        <w:rPr>
          <w:rFonts w:eastAsiaTheme="minorEastAsia"/>
          <w:b/>
          <w:bCs/>
          <w:i/>
          <w:iCs/>
          <w:color w:val="000000" w:themeColor="text1"/>
        </w:rPr>
        <w:t>wanax</w:t>
      </w:r>
      <w:proofErr w:type="spellEnd"/>
      <w:r w:rsidRPr="00AA57DF">
        <w:rPr>
          <w:rFonts w:eastAsiaTheme="minorEastAsia"/>
          <w:b/>
          <w:bCs/>
          <w:i/>
          <w:iCs/>
          <w:color w:val="000000" w:themeColor="text1"/>
        </w:rPr>
        <w:t xml:space="preserve"> </w:t>
      </w:r>
      <w:r w:rsidRPr="00AA57DF">
        <w:rPr>
          <w:rFonts w:eastAsiaTheme="minorEastAsia"/>
          <w:color w:val="000000" w:themeColor="text1"/>
        </w:rPr>
        <w:t xml:space="preserve">miceneo, mentre nell' </w:t>
      </w:r>
      <w:r w:rsidRPr="00AA57DF">
        <w:rPr>
          <w:rFonts w:eastAsiaTheme="minorEastAsia"/>
          <w:i/>
          <w:iCs/>
          <w:color w:val="000000" w:themeColor="text1"/>
        </w:rPr>
        <w:t>Odissea</w:t>
      </w:r>
      <w:r w:rsidRPr="00AA57DF">
        <w:rPr>
          <w:rFonts w:eastAsiaTheme="minorEastAsia"/>
          <w:color w:val="000000" w:themeColor="text1"/>
        </w:rPr>
        <w:t xml:space="preserve"> si avvicina di più a quella del </w:t>
      </w:r>
      <w:proofErr w:type="spellStart"/>
      <w:r w:rsidRPr="00AA57DF">
        <w:rPr>
          <w:rFonts w:eastAsiaTheme="minorEastAsia"/>
          <w:b/>
          <w:bCs/>
          <w:i/>
          <w:iCs/>
          <w:color w:val="000000" w:themeColor="text1"/>
        </w:rPr>
        <w:t>basileus</w:t>
      </w:r>
      <w:proofErr w:type="spellEnd"/>
      <w:r w:rsidRPr="00AA57DF">
        <w:rPr>
          <w:rFonts w:eastAsiaTheme="minorEastAsia"/>
          <w:color w:val="000000" w:themeColor="text1"/>
        </w:rPr>
        <w:t xml:space="preserve"> del medioevo ellenico, i cui poteri erano fortemente limitati dalle assemblee dei nobili. </w:t>
      </w:r>
    </w:p>
    <w:p w:rsidR="00333D98" w:rsidRDefault="00333D98"/>
    <w:sectPr w:rsidR="00333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B89"/>
    <w:multiLevelType w:val="hybridMultilevel"/>
    <w:tmpl w:val="5A54AB06"/>
    <w:lvl w:ilvl="0" w:tplc="84E0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0D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CF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E9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8B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C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65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1F55A0"/>
    <w:multiLevelType w:val="hybridMultilevel"/>
    <w:tmpl w:val="203C1CEC"/>
    <w:lvl w:ilvl="0" w:tplc="CA34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C5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2C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1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22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4D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6C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0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88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07"/>
    <w:rsid w:val="00232FBB"/>
    <w:rsid w:val="00333D98"/>
    <w:rsid w:val="00344466"/>
    <w:rsid w:val="005E190A"/>
    <w:rsid w:val="009C24D9"/>
    <w:rsid w:val="00AA57DF"/>
    <w:rsid w:val="00B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24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24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9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2014-11-05T11:18:00Z</dcterms:created>
  <dcterms:modified xsi:type="dcterms:W3CDTF">2014-11-05T11:44:00Z</dcterms:modified>
</cp:coreProperties>
</file>